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r w:rsidR="002C24E8">
        <w:rPr>
          <w:rStyle w:val="Textodelmarcadordeposicin"/>
          <w:rFonts w:ascii="Tahoma" w:hAnsi="Tahoma" w:cs="Tahoma"/>
          <w:sz w:val="22"/>
        </w:rPr>
        <w:t>Abierta. Número “Sexualidad en el cine”</w:t>
      </w:r>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r w:rsidR="002C24E8">
        <w:rPr>
          <w:rStyle w:val="Textodelmarcadordeposicin"/>
          <w:rFonts w:ascii="Tahoma" w:hAnsi="Tahoma" w:cs="Tahoma"/>
          <w:sz w:val="22"/>
        </w:rPr>
        <w:t>Javier Sendra García y Oscar Estupiñán</w:t>
      </w:r>
    </w:p>
    <w:p w:rsidR="002C24E8" w:rsidRDefault="000B3758" w:rsidP="002C24E8">
      <w:pPr>
        <w:jc w:val="both"/>
        <w:rPr>
          <w:rFonts w:ascii="Arial" w:hAnsi="Arial" w:cs="Arial"/>
          <w:b/>
          <w:i/>
        </w:rPr>
      </w:pPr>
      <w:bookmarkStart w:id="0" w:name="OLE_LINK1"/>
      <w:bookmarkStart w:id="1" w:name="OLE_LINK2"/>
      <w:r>
        <w:rPr>
          <w:rFonts w:ascii="Tahoma" w:hAnsi="Tahoma" w:cs="Tahoma"/>
          <w:b/>
          <w:bCs/>
          <w:sz w:val="20"/>
        </w:rPr>
        <w:t xml:space="preserve">Título: </w:t>
      </w:r>
      <w:bookmarkEnd w:id="0"/>
      <w:bookmarkEnd w:id="1"/>
      <w:r w:rsidR="002C24E8" w:rsidRPr="002C24E8">
        <w:rPr>
          <w:rFonts w:ascii="Tahoma" w:hAnsi="Tahoma" w:cs="Tahoma"/>
          <w:b/>
          <w:sz w:val="22"/>
          <w:szCs w:val="22"/>
        </w:rPr>
        <w:t xml:space="preserve">La utilización de las Tecnologías de la Información y la Comunicación y su impacto en la actividad promocional. </w:t>
      </w:r>
      <w:r w:rsidR="002C24E8" w:rsidRPr="002C24E8">
        <w:rPr>
          <w:rFonts w:ascii="Tahoma" w:hAnsi="Tahoma" w:cs="Tahoma"/>
          <w:b/>
          <w:i/>
          <w:sz w:val="22"/>
          <w:szCs w:val="22"/>
        </w:rPr>
        <w:t>Un estudio sobre los conceptos de eficacia y eficiencia.</w:t>
      </w:r>
    </w:p>
    <w:p w:rsidR="000B3758" w:rsidRPr="000B3758" w:rsidRDefault="000B3758" w:rsidP="000B3758">
      <w:pPr>
        <w:ind w:right="514"/>
        <w:jc w:val="both"/>
        <w:rPr>
          <w:rFonts w:ascii="Tahoma" w:hAnsi="Tahoma" w:cs="Tahoma"/>
          <w:sz w:val="20"/>
        </w:rPr>
      </w:pPr>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p w:rsidR="002C24E8" w:rsidRPr="005E04D7" w:rsidRDefault="002C24E8" w:rsidP="002C24E8">
      <w:pPr>
        <w:jc w:val="both"/>
        <w:rPr>
          <w:rFonts w:ascii="Arial" w:hAnsi="Arial" w:cs="Arial"/>
        </w:rPr>
      </w:pPr>
      <w:bookmarkStart w:id="2" w:name="OLE_LINK6"/>
      <w:bookmarkStart w:id="3" w:name="OLE_LINK5"/>
      <w:r w:rsidRPr="005E04D7">
        <w:rPr>
          <w:rFonts w:ascii="Arial" w:hAnsi="Arial" w:cs="Arial"/>
        </w:rPr>
        <w:t>La medición del impacto promocional ha sido, en las últimas décadas, un estudio de interés constante para los ejecutivos de marketing y ventas y para los investigadores de mercados, en su intento  por entender la repercusión que tiene la actividad promocional en las ventas y en la lealtad de marca.</w:t>
      </w:r>
    </w:p>
    <w:p w:rsidR="002C24E8" w:rsidRPr="005E04D7" w:rsidRDefault="002C24E8" w:rsidP="002C24E8">
      <w:pPr>
        <w:jc w:val="both"/>
        <w:rPr>
          <w:rFonts w:ascii="Arial" w:hAnsi="Arial" w:cs="Arial"/>
        </w:rPr>
      </w:pPr>
      <w:r w:rsidRPr="005E04D7">
        <w:rPr>
          <w:rFonts w:ascii="Arial" w:hAnsi="Arial" w:cs="Arial"/>
        </w:rPr>
        <w:t xml:space="preserve">Las investigaciones coinciden en que existen </w:t>
      </w:r>
      <w:r>
        <w:rPr>
          <w:rFonts w:ascii="Arial" w:hAnsi="Arial" w:cs="Arial"/>
        </w:rPr>
        <w:t xml:space="preserve">dos corrientes de  estudio </w:t>
      </w:r>
      <w:r w:rsidRPr="005E04D7">
        <w:rPr>
          <w:rFonts w:ascii="Arial" w:hAnsi="Arial" w:cs="Arial"/>
        </w:rPr>
        <w:t>sobre el impacto promocional. Una</w:t>
      </w:r>
      <w:r>
        <w:rPr>
          <w:rFonts w:ascii="Arial" w:hAnsi="Arial" w:cs="Arial"/>
        </w:rPr>
        <w:t>,</w:t>
      </w:r>
      <w:r w:rsidRPr="005E04D7">
        <w:rPr>
          <w:rFonts w:ascii="Arial" w:hAnsi="Arial" w:cs="Arial"/>
        </w:rPr>
        <w:t xml:space="preserve"> toma como medida de análisis al comprador y la otra</w:t>
      </w:r>
      <w:r>
        <w:rPr>
          <w:rFonts w:ascii="Arial" w:hAnsi="Arial" w:cs="Arial"/>
        </w:rPr>
        <w:t>,</w:t>
      </w:r>
      <w:r w:rsidRPr="005E04D7">
        <w:rPr>
          <w:rFonts w:ascii="Arial" w:hAnsi="Arial" w:cs="Arial"/>
        </w:rPr>
        <w:t xml:space="preserve"> toma como medida de análisis la elasticidad de la marca.  En el análisis al comprador se estudian, principalmente, la elección de marca, la incidencia de compra y la cantidad comprada.  En </w:t>
      </w:r>
      <w:r>
        <w:rPr>
          <w:rFonts w:ascii="Arial" w:hAnsi="Arial" w:cs="Arial"/>
        </w:rPr>
        <w:t xml:space="preserve">el </w:t>
      </w:r>
      <w:r w:rsidRPr="005E04D7">
        <w:rPr>
          <w:rFonts w:ascii="Arial" w:hAnsi="Arial" w:cs="Arial"/>
        </w:rPr>
        <w:t>análisis de la elasticidad de marca se estudian las percepciones del comprador, básicamente, sobre lo atractivo de la promoción, sus percepciones sobre la relación calidad-precio de la marca y el perfil económico de ese consumidor.</w:t>
      </w:r>
    </w:p>
    <w:p w:rsidR="002C24E8" w:rsidRDefault="002C24E8" w:rsidP="002C24E8">
      <w:pPr>
        <w:jc w:val="both"/>
        <w:rPr>
          <w:rFonts w:ascii="Arial" w:hAnsi="Arial" w:cs="Arial"/>
        </w:rPr>
      </w:pPr>
      <w:r w:rsidRPr="005E04D7">
        <w:rPr>
          <w:rFonts w:ascii="Arial" w:hAnsi="Arial" w:cs="Arial"/>
        </w:rPr>
        <w:t>Las dos corrientes, sin embargo, coinciden en que las mediciones del impacto promocional obedecen, por un lado, a</w:t>
      </w:r>
      <w:r>
        <w:rPr>
          <w:rFonts w:ascii="Arial" w:hAnsi="Arial" w:cs="Arial"/>
        </w:rPr>
        <w:t xml:space="preserve"> la eficacia y eficiencia de dicha actividad, </w:t>
      </w:r>
      <w:r w:rsidRPr="005E04D7">
        <w:rPr>
          <w:rFonts w:ascii="Arial" w:hAnsi="Arial" w:cs="Arial"/>
        </w:rPr>
        <w:t xml:space="preserve"> y por otro, cómo la utilización de las TIC hacen que la promoción de marca sean eficaz</w:t>
      </w:r>
      <w:r>
        <w:rPr>
          <w:rFonts w:ascii="Arial" w:hAnsi="Arial" w:cs="Arial"/>
        </w:rPr>
        <w:t xml:space="preserve"> o eficiente o ambas a la vez; éste último precepto se constituye en la finalidad del presente estudio.</w:t>
      </w:r>
    </w:p>
    <w:p w:rsidR="002C24E8" w:rsidRPr="005E04D7" w:rsidRDefault="002C24E8" w:rsidP="002C24E8">
      <w:pPr>
        <w:pStyle w:val="Default"/>
      </w:pPr>
    </w:p>
    <w:bookmarkEnd w:id="2"/>
    <w:bookmarkEnd w:id="3"/>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2C24E8" w:rsidRDefault="002C24E8" w:rsidP="000B3758">
      <w:pPr>
        <w:ind w:right="514"/>
        <w:jc w:val="both"/>
        <w:rPr>
          <w:rFonts w:ascii="Tahoma" w:hAnsi="Tahoma" w:cs="Tahoma"/>
          <w:b/>
          <w:bCs/>
          <w:sz w:val="20"/>
        </w:rPr>
      </w:pPr>
    </w:p>
    <w:p w:rsidR="002C24E8" w:rsidRDefault="002C24E8" w:rsidP="000B3758">
      <w:pPr>
        <w:ind w:right="514"/>
        <w:jc w:val="both"/>
        <w:rPr>
          <w:rFonts w:ascii="Tahoma" w:hAnsi="Tahoma" w:cs="Tahoma"/>
          <w:b/>
          <w:bCs/>
          <w:sz w:val="20"/>
        </w:rPr>
      </w:pPr>
    </w:p>
    <w:p w:rsidR="002C24E8" w:rsidRDefault="002C24E8" w:rsidP="000B3758">
      <w:pPr>
        <w:ind w:right="514"/>
        <w:jc w:val="both"/>
        <w:rPr>
          <w:rFonts w:ascii="Tahoma" w:hAnsi="Tahoma" w:cs="Tahoma"/>
          <w:b/>
          <w:bCs/>
          <w:sz w:val="20"/>
        </w:rPr>
      </w:pPr>
    </w:p>
    <w:p w:rsidR="000B3758" w:rsidRPr="000B3758" w:rsidRDefault="000B3758" w:rsidP="000B3758">
      <w:pPr>
        <w:ind w:right="514"/>
        <w:jc w:val="both"/>
        <w:rPr>
          <w:rFonts w:ascii="Tahoma" w:hAnsi="Tahoma" w:cs="Tahoma"/>
          <w:sz w:val="20"/>
        </w:rPr>
      </w:pPr>
      <w:r w:rsidRPr="000B3758">
        <w:rPr>
          <w:rFonts w:ascii="Tahoma" w:hAnsi="Tahoma" w:cs="Tahoma"/>
          <w:b/>
          <w:bCs/>
          <w:sz w:val="20"/>
        </w:rPr>
        <w:lastRenderedPageBreak/>
        <w:t>Abstract</w:t>
      </w:r>
      <w:r w:rsidR="003D3BC8">
        <w:rPr>
          <w:rFonts w:ascii="Tahoma" w:hAnsi="Tahoma" w:cs="Tahoma"/>
          <w:b/>
          <w:bCs/>
          <w:sz w:val="20"/>
        </w:rPr>
        <w:t xml:space="preserve"> </w:t>
      </w:r>
      <w:r w:rsidR="003D3BC8" w:rsidRPr="00AE3F12">
        <w:rPr>
          <w:rFonts w:ascii="Tahoma" w:hAnsi="Tahoma" w:cs="Tahoma"/>
          <w:bCs/>
          <w:sz w:val="16"/>
        </w:rPr>
        <w:t>(máx. 200 palabras)</w:t>
      </w:r>
    </w:p>
    <w:p w:rsidR="002C24E8" w:rsidRPr="0022350E" w:rsidRDefault="002C24E8" w:rsidP="002C24E8">
      <w:pPr>
        <w:spacing w:line="240" w:lineRule="auto"/>
        <w:jc w:val="both"/>
        <w:rPr>
          <w:rFonts w:ascii="Arial" w:hAnsi="Arial" w:cs="Arial"/>
          <w:lang w:val="en-US"/>
        </w:rPr>
      </w:pPr>
      <w:r w:rsidRPr="0022350E">
        <w:rPr>
          <w:rFonts w:ascii="Arial" w:hAnsi="Arial" w:cs="Arial"/>
          <w:lang w:val="en-US"/>
        </w:rPr>
        <w:t>Promotional impact measurement has been, in recent decades, a study of continuous interest for marketing and sales executives and market researchers, in trying to understand the impact that has on sales promotional activity and the brand loyalty.</w:t>
      </w:r>
    </w:p>
    <w:p w:rsidR="002C24E8" w:rsidRPr="0022350E" w:rsidRDefault="002C24E8" w:rsidP="002C24E8">
      <w:pPr>
        <w:spacing w:before="100" w:beforeAutospacing="1" w:after="100" w:afterAutospacing="1" w:line="240" w:lineRule="auto"/>
        <w:jc w:val="both"/>
        <w:rPr>
          <w:rFonts w:ascii="Arial" w:hAnsi="Arial" w:cs="Arial"/>
          <w:lang w:val="en-US"/>
        </w:rPr>
      </w:pPr>
      <w:r w:rsidRPr="00B464EF">
        <w:rPr>
          <w:rFonts w:ascii="Arial" w:hAnsi="Arial" w:cs="Arial"/>
          <w:lang w:val="en-US"/>
        </w:rPr>
        <w:t xml:space="preserve">Research shows that there are two main study </w:t>
      </w:r>
      <w:r w:rsidRPr="0022350E">
        <w:rPr>
          <w:rFonts w:ascii="Arial" w:hAnsi="Arial" w:cs="Arial"/>
          <w:lang w:val="en-US"/>
        </w:rPr>
        <w:t>streams</w:t>
      </w:r>
      <w:r w:rsidRPr="00B464EF">
        <w:rPr>
          <w:rFonts w:ascii="Arial" w:hAnsi="Arial" w:cs="Arial"/>
          <w:lang w:val="en-US"/>
        </w:rPr>
        <w:t xml:space="preserve"> to the study of promotional impact. One such </w:t>
      </w:r>
      <w:r w:rsidRPr="0022350E">
        <w:rPr>
          <w:rFonts w:ascii="Arial" w:hAnsi="Arial" w:cs="Arial"/>
          <w:lang w:val="en-US"/>
        </w:rPr>
        <w:t>stream</w:t>
      </w:r>
      <w:r w:rsidRPr="00B464EF">
        <w:rPr>
          <w:rFonts w:ascii="Arial" w:hAnsi="Arial" w:cs="Arial"/>
          <w:lang w:val="en-US"/>
        </w:rPr>
        <w:t xml:space="preserve"> focuses the analysis on the consumer while the other on the brand elasticity. Consumer analysis studies mainly the brand choice, purcha</w:t>
      </w:r>
      <w:r w:rsidRPr="0022350E">
        <w:rPr>
          <w:rFonts w:ascii="Arial" w:hAnsi="Arial" w:cs="Arial"/>
          <w:lang w:val="en-US"/>
        </w:rPr>
        <w:t>se frequency and purchase quantity</w:t>
      </w:r>
      <w:r w:rsidRPr="00B464EF">
        <w:rPr>
          <w:rFonts w:ascii="Arial" w:hAnsi="Arial" w:cs="Arial"/>
          <w:lang w:val="en-US"/>
        </w:rPr>
        <w:t>. Brand elasticity analysis covers consumer perception, mainly around promotion attractiveness, perception o</w:t>
      </w:r>
      <w:r w:rsidRPr="0022350E">
        <w:rPr>
          <w:rFonts w:ascii="Arial" w:hAnsi="Arial" w:cs="Arial"/>
          <w:lang w:val="en-US"/>
        </w:rPr>
        <w:t>f value for money of the brand</w:t>
      </w:r>
      <w:r w:rsidRPr="00B464EF">
        <w:rPr>
          <w:rFonts w:ascii="Arial" w:hAnsi="Arial" w:cs="Arial"/>
          <w:lang w:val="en-US"/>
        </w:rPr>
        <w:t xml:space="preserve">, and consumer </w:t>
      </w:r>
      <w:r w:rsidRPr="0022350E">
        <w:rPr>
          <w:rFonts w:ascii="Arial" w:hAnsi="Arial" w:cs="Arial"/>
          <w:lang w:val="en-US"/>
        </w:rPr>
        <w:t>economic</w:t>
      </w:r>
      <w:r w:rsidRPr="00B464EF">
        <w:rPr>
          <w:rFonts w:ascii="Arial" w:hAnsi="Arial" w:cs="Arial"/>
          <w:lang w:val="en-US"/>
        </w:rPr>
        <w:t xml:space="preserve"> profile. </w:t>
      </w:r>
    </w:p>
    <w:p w:rsidR="002C24E8" w:rsidRPr="0022350E" w:rsidRDefault="002C24E8" w:rsidP="002C24E8">
      <w:pPr>
        <w:spacing w:line="240" w:lineRule="auto"/>
        <w:jc w:val="both"/>
        <w:rPr>
          <w:rFonts w:ascii="Arial" w:hAnsi="Arial" w:cs="Arial"/>
          <w:lang w:val="en-US"/>
        </w:rPr>
      </w:pPr>
      <w:r w:rsidRPr="0022350E">
        <w:rPr>
          <w:rFonts w:ascii="Arial" w:hAnsi="Arial" w:cs="Arial"/>
          <w:lang w:val="en-US"/>
        </w:rPr>
        <w:t>The two streams, however, agree that promotional impact measurement obeys to the one hand, to the effectiveness and efficiency of the promotional activity, and secondly, on how the use of ICT make brand promotion effective, efficient or both at once. The latter provision constitutes the purpose of this study.</w:t>
      </w:r>
    </w:p>
    <w:p w:rsidR="002C24E8" w:rsidRPr="002C24E8" w:rsidRDefault="002C24E8" w:rsidP="000B3758">
      <w:pPr>
        <w:ind w:right="514"/>
        <w:jc w:val="both"/>
        <w:rPr>
          <w:rStyle w:val="Textodelmarcadordeposicin"/>
          <w:lang w:val="en-US"/>
        </w:rPr>
      </w:pPr>
    </w:p>
    <w:p w:rsidR="000B3758" w:rsidRPr="002C24E8" w:rsidRDefault="000B3758" w:rsidP="000B3758">
      <w:pPr>
        <w:ind w:right="514"/>
        <w:jc w:val="both"/>
        <w:rPr>
          <w:rFonts w:ascii="Tahoma" w:hAnsi="Tahoma" w:cs="Tahoma"/>
          <w:sz w:val="20"/>
          <w:lang w:val="en-US"/>
        </w:rPr>
      </w:pPr>
      <w:r w:rsidRPr="002C24E8">
        <w:rPr>
          <w:rFonts w:ascii="Tahoma" w:hAnsi="Tahoma" w:cs="Tahoma"/>
          <w:b/>
          <w:bCs/>
          <w:sz w:val="20"/>
          <w:lang w:val="en-US"/>
        </w:rPr>
        <w:t>Palabras clave</w:t>
      </w:r>
      <w:r w:rsidR="003D3BC8" w:rsidRPr="002C24E8">
        <w:rPr>
          <w:rFonts w:ascii="Tahoma" w:hAnsi="Tahoma" w:cs="Tahoma"/>
          <w:b/>
          <w:bCs/>
          <w:sz w:val="20"/>
          <w:lang w:val="en-US"/>
        </w:rPr>
        <w:t xml:space="preserve"> </w:t>
      </w:r>
      <w:r w:rsidR="003D3BC8" w:rsidRPr="002C24E8">
        <w:rPr>
          <w:rFonts w:ascii="Tahoma" w:hAnsi="Tahoma" w:cs="Tahoma"/>
          <w:bCs/>
          <w:sz w:val="14"/>
          <w:lang w:val="en-US"/>
        </w:rPr>
        <w:t>(entre 6 y 8)</w:t>
      </w:r>
    </w:p>
    <w:p w:rsidR="002C24E8" w:rsidRPr="003E7B7C" w:rsidRDefault="002C24E8" w:rsidP="002C24E8">
      <w:pPr>
        <w:jc w:val="both"/>
        <w:rPr>
          <w:rFonts w:ascii="Arial" w:hAnsi="Arial" w:cs="Arial"/>
        </w:rPr>
      </w:pPr>
      <w:r w:rsidRPr="003E7B7C">
        <w:rPr>
          <w:rFonts w:ascii="Arial" w:hAnsi="Arial" w:cs="Arial"/>
        </w:rPr>
        <w:t>Actividad promocional, eficacia, eficiencia, tecnologías de la información y la comunicación</w:t>
      </w:r>
    </w:p>
    <w:p w:rsidR="002C24E8" w:rsidRDefault="002C24E8" w:rsidP="000B3758">
      <w:pPr>
        <w:ind w:right="514"/>
        <w:jc w:val="both"/>
        <w:rPr>
          <w:rStyle w:val="Textodelmarcadordeposicin"/>
        </w:rPr>
      </w:pPr>
    </w:p>
    <w:p w:rsidR="000B3758" w:rsidRPr="002C24E8" w:rsidRDefault="000B3758" w:rsidP="000B3758">
      <w:pPr>
        <w:ind w:right="514"/>
        <w:jc w:val="both"/>
        <w:rPr>
          <w:rFonts w:ascii="Tahoma" w:hAnsi="Tahoma" w:cs="Tahoma"/>
          <w:sz w:val="20"/>
          <w:lang w:val="en-US"/>
        </w:rPr>
      </w:pPr>
      <w:r w:rsidRPr="002C24E8">
        <w:rPr>
          <w:rFonts w:ascii="Tahoma" w:hAnsi="Tahoma" w:cs="Tahoma"/>
          <w:b/>
          <w:bCs/>
          <w:sz w:val="20"/>
          <w:lang w:val="en-US"/>
        </w:rPr>
        <w:t>Key words</w:t>
      </w:r>
      <w:r w:rsidR="003D3BC8" w:rsidRPr="002C24E8">
        <w:rPr>
          <w:rFonts w:ascii="Tahoma" w:hAnsi="Tahoma" w:cs="Tahoma"/>
          <w:b/>
          <w:bCs/>
          <w:sz w:val="20"/>
          <w:lang w:val="en-US"/>
        </w:rPr>
        <w:t xml:space="preserve"> </w:t>
      </w:r>
      <w:r w:rsidR="003D3BC8" w:rsidRPr="002C24E8">
        <w:rPr>
          <w:rFonts w:ascii="Tahoma" w:hAnsi="Tahoma" w:cs="Tahoma"/>
          <w:bCs/>
          <w:sz w:val="14"/>
          <w:lang w:val="en-US"/>
        </w:rPr>
        <w:t>(entre 6 y 8)</w:t>
      </w:r>
    </w:p>
    <w:p w:rsidR="002C24E8" w:rsidRPr="00B43994" w:rsidRDefault="002C24E8" w:rsidP="002C24E8">
      <w:pPr>
        <w:jc w:val="both"/>
        <w:rPr>
          <w:rFonts w:ascii="Arial" w:hAnsi="Arial" w:cs="Arial"/>
          <w:b/>
          <w:lang w:val="en-US"/>
        </w:rPr>
      </w:pPr>
      <w:r w:rsidRPr="00F77AB1">
        <w:rPr>
          <w:rStyle w:val="hps"/>
          <w:rFonts w:ascii="Arial" w:hAnsi="Arial" w:cs="Arial"/>
          <w:lang w:val="en-US"/>
        </w:rPr>
        <w:t>Promotional activity</w:t>
      </w:r>
      <w:r w:rsidRPr="00F77AB1">
        <w:rPr>
          <w:rFonts w:ascii="Arial" w:hAnsi="Arial" w:cs="Arial"/>
          <w:lang w:val="en-US"/>
        </w:rPr>
        <w:t xml:space="preserve">, effectiveness, efficiency, </w:t>
      </w:r>
      <w:r w:rsidRPr="00F77AB1">
        <w:rPr>
          <w:rStyle w:val="hps"/>
          <w:rFonts w:ascii="Arial" w:hAnsi="Arial" w:cs="Arial"/>
          <w:lang w:val="en-US"/>
        </w:rPr>
        <w:t>information technology</w:t>
      </w:r>
      <w:r w:rsidRPr="00F77AB1">
        <w:rPr>
          <w:rFonts w:ascii="Arial" w:hAnsi="Arial" w:cs="Arial"/>
          <w:lang w:val="en-US"/>
        </w:rPr>
        <w:t xml:space="preserve"> </w:t>
      </w:r>
      <w:r w:rsidRPr="00F77AB1">
        <w:rPr>
          <w:rStyle w:val="hps"/>
          <w:rFonts w:ascii="Arial" w:hAnsi="Arial" w:cs="Arial"/>
          <w:lang w:val="en-US"/>
        </w:rPr>
        <w:t>and</w:t>
      </w:r>
      <w:r w:rsidRPr="00F77AB1">
        <w:rPr>
          <w:rFonts w:ascii="Arial" w:hAnsi="Arial" w:cs="Arial"/>
          <w:lang w:val="en-US"/>
        </w:rPr>
        <w:t xml:space="preserve"> </w:t>
      </w:r>
      <w:r w:rsidRPr="00F77AB1">
        <w:rPr>
          <w:rStyle w:val="hps"/>
          <w:rFonts w:ascii="Arial" w:hAnsi="Arial" w:cs="Arial"/>
          <w:lang w:val="en-US"/>
        </w:rPr>
        <w:t>communication</w:t>
      </w:r>
    </w:p>
    <w:p w:rsidR="003D3BC8" w:rsidRPr="002C24E8" w:rsidRDefault="003D3BC8" w:rsidP="000B3758">
      <w:pPr>
        <w:pBdr>
          <w:bottom w:val="single" w:sz="6" w:space="1" w:color="auto"/>
        </w:pBdr>
        <w:ind w:right="514"/>
        <w:jc w:val="both"/>
        <w:rPr>
          <w:rFonts w:ascii="Tahoma" w:hAnsi="Tahoma" w:cs="Tahoma"/>
          <w:sz w:val="20"/>
          <w:lang w:val="en-US"/>
        </w:rPr>
      </w:pPr>
    </w:p>
    <w:p w:rsidR="003D3BC8" w:rsidRPr="002C24E8"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r w:rsidR="00AE3F12" w:rsidRPr="00AE3F12">
        <w:rPr>
          <w:rFonts w:ascii="Tahoma" w:hAnsi="Tahoma" w:cs="Tahoma"/>
          <w:bCs/>
          <w:sz w:val="16"/>
        </w:rPr>
        <w:t>(utilizar los campos que sean necesarios, y eliminar el resto)</w:t>
      </w:r>
    </w:p>
    <w:p w:rsidR="002C24E8" w:rsidRPr="002C24E8" w:rsidRDefault="002C24E8" w:rsidP="000B3758">
      <w:pPr>
        <w:ind w:right="514"/>
        <w:jc w:val="both"/>
        <w:rPr>
          <w:rFonts w:ascii="Tahoma" w:hAnsi="Tahoma" w:cs="Tahoma"/>
          <w:sz w:val="20"/>
          <w:szCs w:val="20"/>
        </w:rPr>
      </w:pPr>
      <w:r w:rsidRPr="002C24E8">
        <w:rPr>
          <w:rStyle w:val="Textodelmarcadordeposicin"/>
          <w:rFonts w:ascii="Tahoma" w:hAnsi="Tahoma" w:cs="Tahoma"/>
          <w:color w:val="auto"/>
          <w:sz w:val="20"/>
          <w:szCs w:val="20"/>
        </w:rPr>
        <w:t>Javier Sendra García.  Es estudiante de Doctorado en la UCM</w:t>
      </w:r>
      <w:r w:rsidR="003D3BC8" w:rsidRPr="002C24E8">
        <w:rPr>
          <w:rStyle w:val="Textodelmarcadordeposicin"/>
          <w:rFonts w:ascii="Tahoma" w:hAnsi="Tahoma" w:cs="Tahoma"/>
          <w:color w:val="auto"/>
          <w:sz w:val="20"/>
          <w:szCs w:val="20"/>
        </w:rPr>
        <w:t>.</w:t>
      </w:r>
      <w:r w:rsidR="003D3BC8" w:rsidRPr="002C24E8">
        <w:rPr>
          <w:rFonts w:ascii="Tahoma" w:hAnsi="Tahoma" w:cs="Tahoma"/>
          <w:sz w:val="20"/>
          <w:szCs w:val="20"/>
        </w:rPr>
        <w:t xml:space="preserve"> </w:t>
      </w:r>
    </w:p>
    <w:p w:rsidR="003D3BC8" w:rsidRPr="002C24E8" w:rsidRDefault="002C24E8" w:rsidP="000B3758">
      <w:pPr>
        <w:ind w:right="514"/>
        <w:jc w:val="both"/>
        <w:rPr>
          <w:rFonts w:ascii="Tahoma" w:hAnsi="Tahoma" w:cs="Tahoma"/>
          <w:sz w:val="20"/>
          <w:szCs w:val="20"/>
        </w:rPr>
      </w:pPr>
      <w:r w:rsidRPr="002C24E8">
        <w:rPr>
          <w:rFonts w:ascii="Tahoma" w:hAnsi="Tahoma" w:cs="Tahoma"/>
          <w:sz w:val="20"/>
          <w:szCs w:val="20"/>
        </w:rPr>
        <w:t>Oscar Estupiñán. Doctor en Ciencias de la Información, UCM</w:t>
      </w:r>
    </w:p>
    <w:p w:rsidR="002C24E8" w:rsidRDefault="002C24E8" w:rsidP="000B3758">
      <w:pPr>
        <w:ind w:right="514"/>
        <w:jc w:val="both"/>
        <w:rPr>
          <w:rStyle w:val="Textodelmarcadordeposicin"/>
        </w:rPr>
      </w:pPr>
    </w:p>
    <w:p w:rsidR="002C24E8" w:rsidRDefault="002C24E8" w:rsidP="000B3758">
      <w:pPr>
        <w:ind w:right="514"/>
        <w:jc w:val="both"/>
        <w:rPr>
          <w:rStyle w:val="Textodelmarcadordeposicin"/>
        </w:rPr>
      </w:pPr>
      <w:r>
        <w:rPr>
          <w:rStyle w:val="Textodelmarcadordeposicin"/>
        </w:rPr>
        <w:t xml:space="preserve">Javier Sendra García.   </w:t>
      </w:r>
      <w:hyperlink r:id="rId8" w:history="1">
        <w:r w:rsidRPr="00917930">
          <w:rPr>
            <w:rStyle w:val="Hipervnculo"/>
          </w:rPr>
          <w:t>javier.sendra@pepsico.com</w:t>
        </w:r>
      </w:hyperlink>
    </w:p>
    <w:p w:rsidR="003D3BC8" w:rsidRPr="002C24E8" w:rsidRDefault="002C24E8" w:rsidP="002C24E8">
      <w:pPr>
        <w:ind w:right="514"/>
        <w:jc w:val="both"/>
        <w:rPr>
          <w:color w:val="808080"/>
        </w:rPr>
      </w:pPr>
      <w:r>
        <w:rPr>
          <w:rStyle w:val="Textodelmarcadordeposicin"/>
        </w:rPr>
        <w:t xml:space="preserve">Oscar Estupiñán. </w:t>
      </w:r>
      <w:hyperlink r:id="rId9" w:history="1">
        <w:r w:rsidRPr="00917930">
          <w:rPr>
            <w:rStyle w:val="Hipervnculo"/>
          </w:rPr>
          <w:t>oje791207@gmail.com</w:t>
        </w:r>
      </w:hyperlink>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Pr="000B3758" w:rsidRDefault="002C24E8" w:rsidP="002C24E8">
      <w:pPr>
        <w:ind w:right="514"/>
        <w:jc w:val="both"/>
        <w:rPr>
          <w:rFonts w:ascii="Tahoma" w:hAnsi="Tahoma" w:cs="Tahoma"/>
          <w:sz w:val="20"/>
        </w:rPr>
      </w:pPr>
      <w:r>
        <w:rPr>
          <w:rStyle w:val="Textodelmarcadordeposicin"/>
        </w:rPr>
        <w:t xml:space="preserve">Oscar Estupiñán. </w:t>
      </w:r>
      <w:hyperlink r:id="rId10" w:history="1">
        <w:r w:rsidRPr="00917930">
          <w:rPr>
            <w:rStyle w:val="Hipervnculo"/>
          </w:rPr>
          <w:t>oje791207@gmail.com</w:t>
        </w:r>
      </w:hyperlink>
      <w:r>
        <w:rPr>
          <w:rStyle w:val="Textodelmarcadordeposicin"/>
        </w:rPr>
        <w:t xml:space="preserve"> </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11"/>
      <w:footerReference w:type="even" r:id="rId12"/>
      <w:footerReference w:type="default" r:id="rId13"/>
      <w:headerReference w:type="first" r:id="rId14"/>
      <w:footerReference w:type="first" r:id="rId15"/>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E3" w:rsidRDefault="00F77FE3">
      <w:pPr>
        <w:spacing w:line="240" w:lineRule="auto"/>
      </w:pPr>
      <w:r>
        <w:separator/>
      </w:r>
    </w:p>
  </w:endnote>
  <w:endnote w:type="continuationSeparator" w:id="0">
    <w:p w:rsidR="00F77FE3" w:rsidRDefault="00F77F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11FA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11FAA" w:rsidP="00867A0F">
    <w:pPr>
      <w:pStyle w:val="Piedepgina"/>
      <w:rPr>
        <w:sz w:val="18"/>
      </w:rPr>
    </w:pPr>
    <w:r w:rsidRPr="00311FAA">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6704"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311FAA" w:rsidP="00867A0F">
    <w:pPr>
      <w:pStyle w:val="Piedepgina"/>
      <w:rPr>
        <w:sz w:val="18"/>
      </w:rPr>
    </w:pPr>
    <w:r w:rsidRPr="00311FAA">
      <w:rPr>
        <w:noProof/>
      </w:rPr>
      <w:pict>
        <v:rect id="_x0000_s2058" style="position:absolute;left:0;text-align:left;margin-left:0;margin-top:-3.55pt;width:18pt;height:18pt;z-index:251653632" fillcolor="black" stroked="f"/>
      </w:pict>
    </w:r>
    <w:r w:rsidRPr="00311FAA">
      <w:rPr>
        <w:noProof/>
      </w:rPr>
      <w:pict>
        <v:shape id="_x0000_s2060" type="#_x0000_t202" style="position:absolute;left:0;text-align:left;margin-left:0;margin-top:-.55pt;width:18pt;height:15pt;z-index:251655680"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311FAA">
      <w:rPr>
        <w:noProof/>
      </w:rPr>
      <w:pict>
        <v:line id="_x0000_s2059" style="position:absolute;left:0;text-align:left;z-index:251654656" from="17.85pt,-3.55pt" to="503.85pt,-3.55pt" strokecolor="#969696"/>
      </w:pict>
    </w:r>
    <w:r w:rsidRPr="00311FAA">
      <w:rPr>
        <w:noProof/>
      </w:rPr>
      <w:pict>
        <v:rect id="_x0000_s2057" style="position:absolute;left:0;text-align:left;margin-left:7in;margin-top:-3.55pt;width:18pt;height:18pt;z-index:-251663872" fillcolor="red" stroked="f"/>
      </w:pict>
    </w:r>
    <w:r w:rsidRPr="00311FAA">
      <w:rPr>
        <w:noProof/>
      </w:rPr>
      <w:pict>
        <v:shape id="_x0000_s2063" type="#_x0000_t202" style="position:absolute;left:0;text-align:left;margin-left:504.5pt;margin-top:-.55pt;width:18pt;height:15pt;z-index:251658752" filled="f" stroked="f">
          <v:textbox style="mso-next-textbox:#_x0000_s2063" inset=".5mm,.3mm,.5mm,.3mm">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2C24E8">
                  <w:rPr>
                    <w:rStyle w:val="Nmerodepgina"/>
                    <w:noProof/>
                  </w:rPr>
                  <w:t>2</w:t>
                </w:r>
                <w:r>
                  <w:rPr>
                    <w:rStyle w:val="Nmerodepgina"/>
                  </w:rPr>
                  <w:fldChar w:fldCharType="end"/>
                </w:r>
              </w:p>
            </w:txbxContent>
          </v:textbox>
        </v:shape>
      </w:pict>
    </w:r>
    <w:r w:rsidRPr="00311FAA">
      <w:rPr>
        <w:noProof/>
      </w:rPr>
      <w:pict>
        <v:shape id="_x0000_s2062" type="#_x0000_t202" style="position:absolute;left:0;text-align:left;margin-left:17.85pt;margin-top:24.65pt;width:486pt;height:18pt;z-index:251657728" filled="f" stroked="f">
          <v:textbox style="mso-next-textbox:#_x0000_s2062">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11FAA" w:rsidP="00867A0F">
    <w:pPr>
      <w:pStyle w:val="Piedepgina"/>
      <w:rPr>
        <w:sz w:val="18"/>
      </w:rPr>
    </w:pPr>
    <w:r w:rsidRPr="00311FAA">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080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311FAA" w:rsidP="00867A0F">
    <w:pPr>
      <w:pStyle w:val="Piedepgina"/>
      <w:rPr>
        <w:sz w:val="18"/>
      </w:rPr>
    </w:pPr>
    <w:r w:rsidRPr="00311FAA">
      <w:rPr>
        <w:noProof/>
      </w:rPr>
      <w:pict>
        <v:shape id="_x0000_s2073" type="#_x0000_t202" style="position:absolute;left:0;text-align:left;margin-left:17.85pt;margin-top:11.15pt;width:486pt;height:18pt;z-index:251661824" filled="f" stroked="f">
          <v:textbox style="mso-next-textbox:#_x0000_s2073">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311FAA">
      <w:rPr>
        <w:noProof/>
      </w:rPr>
      <w:pict>
        <v:line id="_x0000_s2070" style="position:absolute;left:0;text-align:left;z-index:251659776"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E3" w:rsidRDefault="00F77FE3">
      <w:pPr>
        <w:spacing w:line="240" w:lineRule="auto"/>
      </w:pPr>
      <w:r>
        <w:separator/>
      </w:r>
    </w:p>
  </w:footnote>
  <w:footnote w:type="continuationSeparator" w:id="0">
    <w:p w:rsidR="00F77FE3" w:rsidRDefault="00F77F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11FAA" w:rsidP="00867A0F">
    <w:pPr>
      <w:pStyle w:val="Piedepgina"/>
      <w:rPr>
        <w:lang w:val="es-ES_tradnl"/>
      </w:rPr>
    </w:pPr>
    <w:r w:rsidRPr="00311FAA">
      <w:rPr>
        <w:noProof/>
        <w:sz w:val="20"/>
      </w:rPr>
      <w:pict>
        <v:line id="_x0000_s2075" style="position:absolute;left:0;text-align:left;z-index:251662848"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2C24E8">
    <w:pPr>
      <w:spacing w:line="240" w:lineRule="auto"/>
      <w:ind w:left="0" w:right="0"/>
    </w:pPr>
    <w:r>
      <w:rPr>
        <w:noProof/>
      </w:rPr>
      <w:drawing>
        <wp:inline distT="0" distB="0" distL="0" distR="0">
          <wp:extent cx="2847975" cy="828675"/>
          <wp:effectExtent l="19050" t="0" r="9525" b="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srcRect/>
                  <a:stretch>
                    <a:fillRect/>
                  </a:stretch>
                </pic:blipFill>
                <pic:spPr bwMode="auto">
                  <a:xfrm>
                    <a:off x="0" y="0"/>
                    <a:ext cx="2847975" cy="828675"/>
                  </a:xfrm>
                  <a:prstGeom prst="rect">
                    <a:avLst/>
                  </a:prstGeom>
                  <a:noFill/>
                  <a:ln w="9525">
                    <a:noFill/>
                    <a:miter lim="800000"/>
                    <a:headEnd/>
                    <a:tailEnd/>
                  </a:ln>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8194">
      <o:colormenu v:ext="edit" fillcolor="none" strokecolor="red"/>
    </o:shapedefaults>
    <o:shapelayout v:ext="edit">
      <o:idmap v:ext="edit" data="2"/>
    </o:shapelayout>
  </w:hdrShapeDefaults>
  <w:footnotePr>
    <w:footnote w:id="-1"/>
    <w:footnote w:id="0"/>
  </w:footnotePr>
  <w:endnotePr>
    <w:endnote w:id="-1"/>
    <w:endnote w:id="0"/>
  </w:endnotePr>
  <w:compat/>
  <w:rsids>
    <w:rsidRoot w:val="00F77FE3"/>
    <w:rsid w:val="00026240"/>
    <w:rsid w:val="000B3758"/>
    <w:rsid w:val="001177AC"/>
    <w:rsid w:val="001F17B6"/>
    <w:rsid w:val="00250CBC"/>
    <w:rsid w:val="002C1243"/>
    <w:rsid w:val="002C24E8"/>
    <w:rsid w:val="00310853"/>
    <w:rsid w:val="00311FAA"/>
    <w:rsid w:val="00390CA6"/>
    <w:rsid w:val="003D3BC8"/>
    <w:rsid w:val="003F0D07"/>
    <w:rsid w:val="00403C45"/>
    <w:rsid w:val="0042639E"/>
    <w:rsid w:val="0044049A"/>
    <w:rsid w:val="00466DF5"/>
    <w:rsid w:val="004F5D4F"/>
    <w:rsid w:val="00574057"/>
    <w:rsid w:val="005A3E78"/>
    <w:rsid w:val="00636EEF"/>
    <w:rsid w:val="006540CD"/>
    <w:rsid w:val="006569EF"/>
    <w:rsid w:val="00694115"/>
    <w:rsid w:val="006D3F5F"/>
    <w:rsid w:val="00724327"/>
    <w:rsid w:val="00734305"/>
    <w:rsid w:val="007C40BC"/>
    <w:rsid w:val="00814EFA"/>
    <w:rsid w:val="00867A0F"/>
    <w:rsid w:val="00891C0E"/>
    <w:rsid w:val="008B181D"/>
    <w:rsid w:val="008D0F07"/>
    <w:rsid w:val="008E57B5"/>
    <w:rsid w:val="00911054"/>
    <w:rsid w:val="0094184C"/>
    <w:rsid w:val="00965B3C"/>
    <w:rsid w:val="009C73FE"/>
    <w:rsid w:val="00A0496E"/>
    <w:rsid w:val="00A503EB"/>
    <w:rsid w:val="00A83A43"/>
    <w:rsid w:val="00AE3F12"/>
    <w:rsid w:val="00B313A7"/>
    <w:rsid w:val="00CE6B3B"/>
    <w:rsid w:val="00E823C2"/>
    <w:rsid w:val="00E86DAA"/>
    <w:rsid w:val="00EC2C95"/>
    <w:rsid w:val="00F11C83"/>
    <w:rsid w:val="00F56F57"/>
    <w:rsid w:val="00F77FE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Default">
    <w:name w:val="Default"/>
    <w:uiPriority w:val="99"/>
    <w:rsid w:val="002C24E8"/>
    <w:pPr>
      <w:autoSpaceDE w:val="0"/>
      <w:autoSpaceDN w:val="0"/>
      <w:adjustRightInd w:val="0"/>
    </w:pPr>
    <w:rPr>
      <w:rFonts w:ascii="Arial" w:eastAsia="Calibri" w:hAnsi="Arial" w:cs="Arial"/>
      <w:color w:val="000000"/>
      <w:sz w:val="24"/>
      <w:szCs w:val="24"/>
      <w:lang w:eastAsia="en-US"/>
    </w:rPr>
  </w:style>
  <w:style w:type="character" w:customStyle="1" w:styleId="hps">
    <w:name w:val="hps"/>
    <w:basedOn w:val="Fuentedeprrafopredeter"/>
    <w:rsid w:val="002C2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ier.sendra@pepsic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je791207@gmail.com" TargetMode="External"/><Relationship Id="rId4" Type="http://schemas.openxmlformats.org/officeDocument/2006/relationships/settings" Target="settings.xml"/><Relationship Id="rId9" Type="http://schemas.openxmlformats.org/officeDocument/2006/relationships/hyperlink" Target="mailto:oje791207@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tupios\CONFIG~1\Temp\2_plantilla_resumen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E369-355A-445E-B37B-357D2A7B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Template>
  <TotalTime>5</TotalTime>
  <Pages>2</Pages>
  <Words>519</Words>
  <Characters>2858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subject/>
  <dc:creator>estupios</dc:creator>
  <cp:keywords/>
  <dc:description/>
  <cp:lastModifiedBy>estupios</cp:lastModifiedBy>
  <cp:revision>1</cp:revision>
  <cp:lastPrinted>1601-01-01T00:00:00Z</cp:lastPrinted>
  <dcterms:created xsi:type="dcterms:W3CDTF">2011-06-17T07:26:00Z</dcterms:created>
  <dcterms:modified xsi:type="dcterms:W3CDTF">2011-06-17T07:33:00Z</dcterms:modified>
</cp:coreProperties>
</file>